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0615" w14:textId="12F873FF" w:rsidR="00E852D5" w:rsidRPr="00452DB6" w:rsidRDefault="00E852D5" w:rsidP="00E852D5">
      <w:pPr>
        <w:pStyle w:val="ArticleTitleHeading"/>
        <w:spacing w:before="240" w:after="240"/>
        <w:rPr>
          <w:rFonts w:asciiTheme="minorHAnsi" w:hAnsiTheme="minorHAnsi"/>
          <w:sz w:val="24"/>
          <w:szCs w:val="28"/>
          <w:shd w:val="clear" w:color="auto" w:fill="FFFFFF"/>
          <w:lang w:val="en-US"/>
        </w:rPr>
      </w:pPr>
      <w:bookmarkStart w:id="0" w:name="_GoBack"/>
      <w:bookmarkEnd w:id="0"/>
      <w:r w:rsidRPr="00452DB6">
        <w:rPr>
          <w:rFonts w:asciiTheme="minorHAnsi" w:hAnsiTheme="minorHAnsi"/>
          <w:sz w:val="24"/>
          <w:szCs w:val="28"/>
          <w:shd w:val="clear" w:color="auto" w:fill="FFFFFF"/>
          <w:lang w:val="en-US"/>
        </w:rPr>
        <w:t>TEMPLATE AND GUIDELINES</w:t>
      </w:r>
      <w:r w:rsidR="00452DB6">
        <w:rPr>
          <w:rFonts w:asciiTheme="minorHAnsi" w:hAnsiTheme="minorHAnsi"/>
          <w:sz w:val="24"/>
          <w:szCs w:val="28"/>
          <w:shd w:val="clear" w:color="auto" w:fill="FFFFFF"/>
          <w:lang w:val="en-US"/>
        </w:rPr>
        <w:t xml:space="preserve"> TO FORMAT THE BOOK REVIEW</w:t>
      </w:r>
    </w:p>
    <w:p w14:paraId="3FEB3C74" w14:textId="77777777" w:rsidR="00E852D5" w:rsidRPr="009D2158" w:rsidRDefault="00E852D5" w:rsidP="00E852D5">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09EF8462" w14:textId="6CCC8488" w:rsidR="00B41DDC" w:rsidRDefault="00B41DDC" w:rsidP="00E852D5">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w:t>
      </w:r>
      <w:r w:rsidR="00736940">
        <w:rPr>
          <w:rFonts w:eastAsia="Times New Roman" w:cstheme="minorHAnsi"/>
          <w:color w:val="111111"/>
          <w:lang w:eastAsia="es-ES"/>
        </w:rPr>
        <w:t>have both a general idea and an evaluation of the work.</w:t>
      </w:r>
    </w:p>
    <w:p w14:paraId="3E7B0C67" w14:textId="1F70E862" w:rsidR="00E852D5" w:rsidRPr="009D2158" w:rsidRDefault="00B41DDC" w:rsidP="00E852D5">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74D91A37" w14:textId="13F83845" w:rsidR="00B41DDC" w:rsidRDefault="00452DB6" w:rsidP="00B41DDC">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00B41DDC" w:rsidRPr="00B41DDC">
        <w:rPr>
          <w:rFonts w:eastAsia="Times New Roman" w:cstheme="minorHAnsi"/>
          <w:color w:val="111111"/>
          <w:lang w:eastAsia="es-ES"/>
        </w:rPr>
        <w:t>ength</w:t>
      </w:r>
      <w:r w:rsidR="00B41DDC">
        <w:rPr>
          <w:rFonts w:eastAsia="Times New Roman" w:cstheme="minorHAnsi"/>
          <w:color w:val="111111"/>
          <w:lang w:eastAsia="es-ES"/>
        </w:rPr>
        <w:t xml:space="preserve"> of the review</w:t>
      </w:r>
      <w:r>
        <w:rPr>
          <w:rFonts w:eastAsia="Times New Roman" w:cstheme="minorHAnsi"/>
          <w:color w:val="111111"/>
          <w:lang w:eastAsia="es-ES"/>
        </w:rPr>
        <w:t xml:space="preserve">: </w:t>
      </w:r>
      <w:r w:rsidR="00B41DDC" w:rsidRPr="00B41DDC">
        <w:rPr>
          <w:rFonts w:eastAsia="Times New Roman" w:cstheme="minorHAnsi"/>
          <w:color w:val="111111"/>
          <w:lang w:eastAsia="es-ES"/>
        </w:rPr>
        <w:t xml:space="preserve">between </w:t>
      </w:r>
      <w:r w:rsidR="00B41DDC">
        <w:rPr>
          <w:rFonts w:eastAsia="Times New Roman" w:cstheme="minorHAnsi"/>
          <w:color w:val="111111"/>
          <w:lang w:eastAsia="es-ES"/>
        </w:rPr>
        <w:t>800</w:t>
      </w:r>
      <w:r w:rsidR="00B41DDC" w:rsidRPr="00B41DDC">
        <w:rPr>
          <w:rFonts w:eastAsia="Times New Roman" w:cstheme="minorHAnsi"/>
          <w:color w:val="111111"/>
          <w:lang w:eastAsia="es-ES"/>
        </w:rPr>
        <w:t xml:space="preserve"> and </w:t>
      </w:r>
      <w:r w:rsidR="00B41DDC">
        <w:rPr>
          <w:rFonts w:eastAsia="Times New Roman" w:cstheme="minorHAnsi"/>
          <w:color w:val="111111"/>
          <w:lang w:eastAsia="es-ES"/>
        </w:rPr>
        <w:t>1,500</w:t>
      </w:r>
      <w:r w:rsidR="00B41DDC" w:rsidRPr="00B41DDC">
        <w:rPr>
          <w:rFonts w:eastAsia="Times New Roman" w:cstheme="minorHAnsi"/>
          <w:color w:val="111111"/>
          <w:lang w:eastAsia="es-ES"/>
        </w:rPr>
        <w:t xml:space="preserve"> words</w:t>
      </w:r>
      <w:r w:rsidR="00B41DDC">
        <w:rPr>
          <w:rFonts w:eastAsia="Times New Roman" w:cstheme="minorHAnsi"/>
          <w:color w:val="111111"/>
          <w:lang w:eastAsia="es-ES"/>
        </w:rPr>
        <w:t>.</w:t>
      </w:r>
    </w:p>
    <w:p w14:paraId="7ED1877E" w14:textId="3153CDCD" w:rsidR="00E852D5" w:rsidRDefault="00B41DDC" w:rsidP="00B41DDC">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w:t>
      </w:r>
      <w:r w:rsidR="00736940">
        <w:rPr>
          <w:rFonts w:eastAsia="Times New Roman" w:cstheme="minorHAnsi"/>
          <w:color w:val="111111"/>
          <w:lang w:eastAsia="es-ES"/>
        </w:rPr>
        <w:t>s will be preferably related to the objective and scope of the journal.</w:t>
      </w:r>
    </w:p>
    <w:p w14:paraId="3682B991" w14:textId="71679B9D" w:rsidR="00736940" w:rsidRDefault="00736940" w:rsidP="00B41DDC">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The authors and their works' prestige will be considered, they have to be </w:t>
      </w:r>
      <w:r w:rsidR="00763DC8">
        <w:rPr>
          <w:rFonts w:eastAsia="Times New Roman" w:cstheme="minorHAnsi"/>
          <w:color w:val="111111"/>
          <w:lang w:eastAsia="es-ES"/>
        </w:rPr>
        <w:t>recognized in the academic field.</w:t>
      </w:r>
    </w:p>
    <w:p w14:paraId="6B2E7C68" w14:textId="1337A419" w:rsidR="00763DC8" w:rsidRDefault="00763DC8" w:rsidP="00B41DDC">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03E21476" w14:textId="1B783D85" w:rsidR="00763DC8" w:rsidRPr="009D2158" w:rsidRDefault="00763DC8" w:rsidP="00B41DDC">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4747F777" w14:textId="77777777" w:rsidR="00E852D5" w:rsidRPr="00D2062A" w:rsidRDefault="00E852D5" w:rsidP="00E852D5">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2EED7276" w14:textId="24B27562" w:rsidR="00E852D5" w:rsidRPr="00763DC8" w:rsidRDefault="00763DC8" w:rsidP="00E852D5">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5FE664B6" w14:textId="145DFCD5" w:rsidR="00763DC8" w:rsidRPr="001A54E1" w:rsidRDefault="00763DC8" w:rsidP="00E852D5">
      <w:pPr>
        <w:pStyle w:val="FirstParaofSectionTextStyle"/>
        <w:numPr>
          <w:ilvl w:val="0"/>
          <w:numId w:val="1"/>
        </w:numPr>
        <w:rPr>
          <w:rFonts w:eastAsia="Times New Roman" w:cstheme="minorHAnsi"/>
          <w:color w:val="111111"/>
          <w:lang w:eastAsia="es-ES"/>
        </w:rPr>
      </w:pPr>
      <w:r>
        <w:rPr>
          <w:rFonts w:eastAsia="Times New Roman" w:cs="Times New Roman"/>
        </w:rPr>
        <w:t xml:space="preserve">The name of the author of the review must appear at the beginning of the text, </w:t>
      </w:r>
      <w:r w:rsidR="001A54E1">
        <w:rPr>
          <w:rFonts w:eastAsia="Times New Roman" w:cs="Times New Roman"/>
        </w:rPr>
        <w:t>with the University and the country.</w:t>
      </w:r>
    </w:p>
    <w:p w14:paraId="0D4E6AA5" w14:textId="31A853ED" w:rsidR="001A54E1" w:rsidRPr="001A54E1" w:rsidRDefault="001A54E1" w:rsidP="00E852D5">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396005B4" w14:textId="50F644AC" w:rsidR="001A54E1" w:rsidRPr="005E7623" w:rsidRDefault="001A54E1" w:rsidP="001A54E1">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w:t>
      </w:r>
      <w:r w:rsidR="00230047">
        <w:rPr>
          <w:rFonts w:eastAsia="Times New Roman" w:cs="Times New Roman"/>
        </w:rPr>
        <w:t xml:space="preserve">City: </w:t>
      </w:r>
      <w:r>
        <w:rPr>
          <w:rFonts w:eastAsia="Times New Roman" w:cs="Times New Roman"/>
        </w:rPr>
        <w:t xml:space="preserve">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130566">
          <w:headerReference w:type="even" r:id="rId9"/>
          <w:headerReference w:type="default" r:id="rId10"/>
          <w:headerReference w:type="first" r:id="rId11"/>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400FA333" w14:textId="77777777" w:rsidR="00452DB6" w:rsidRDefault="00452DB6" w:rsidP="000D0F73">
      <w:pPr>
        <w:pStyle w:val="PaperTitle"/>
        <w:spacing w:after="0" w:line="240" w:lineRule="auto"/>
        <w:contextualSpacing w:val="0"/>
        <w:jc w:val="center"/>
        <w:outlineLvl w:val="0"/>
        <w:rPr>
          <w:b w:val="0"/>
          <w:sz w:val="22"/>
          <w:szCs w:val="22"/>
        </w:rPr>
      </w:pPr>
    </w:p>
    <w:p w14:paraId="32F4BC1C" w14:textId="77777777" w:rsidR="00452DB6" w:rsidRDefault="00452DB6" w:rsidP="000D0F73">
      <w:pPr>
        <w:pStyle w:val="PaperTitle"/>
        <w:spacing w:after="0" w:line="240" w:lineRule="auto"/>
        <w:contextualSpacing w:val="0"/>
        <w:jc w:val="center"/>
        <w:outlineLvl w:val="0"/>
        <w:rPr>
          <w:b w:val="0"/>
          <w:sz w:val="22"/>
          <w:szCs w:val="22"/>
        </w:rPr>
      </w:pPr>
    </w:p>
    <w:p w14:paraId="7ABCF148" w14:textId="77777777" w:rsidR="00452DB6" w:rsidRPr="005407AA" w:rsidRDefault="00452DB6" w:rsidP="00452DB6">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3D815F27" w14:textId="77777777" w:rsidR="00452DB6" w:rsidRDefault="00452DB6" w:rsidP="00452DB6">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272C28B8" w14:textId="77777777" w:rsidR="00452DB6" w:rsidRDefault="00452DB6" w:rsidP="00452DB6">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422F49B" w14:textId="77777777" w:rsidR="00452DB6" w:rsidRDefault="00452DB6" w:rsidP="00452DB6">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FF468C3" w14:textId="77777777" w:rsidR="00452DB6" w:rsidRPr="009F5A92" w:rsidRDefault="00452DB6" w:rsidP="00452DB6">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3E3ED107" w14:textId="77777777" w:rsidR="00452DB6" w:rsidRDefault="00452DB6" w:rsidP="00452DB6">
      <w:pPr>
        <w:pStyle w:val="SectionHeadings"/>
        <w:rPr>
          <w:sz w:val="26"/>
          <w:szCs w:val="26"/>
        </w:rPr>
      </w:pPr>
    </w:p>
    <w:p w14:paraId="0AE5D7CE" w14:textId="77777777" w:rsidR="00452DB6" w:rsidRDefault="00452DB6" w:rsidP="00452DB6">
      <w:pPr>
        <w:pStyle w:val="SectionHeadings"/>
        <w:rPr>
          <w:sz w:val="26"/>
          <w:szCs w:val="26"/>
        </w:rPr>
      </w:pPr>
    </w:p>
    <w:p w14:paraId="4D8A22AD" w14:textId="77777777" w:rsidR="00452DB6" w:rsidRPr="00011820" w:rsidRDefault="00452DB6" w:rsidP="00452DB6">
      <w:pPr>
        <w:pStyle w:val="SectionHeadings"/>
        <w:rPr>
          <w:sz w:val="26"/>
          <w:szCs w:val="26"/>
        </w:rPr>
      </w:pPr>
      <w:r w:rsidRPr="00011820">
        <w:rPr>
          <w:sz w:val="26"/>
          <w:szCs w:val="26"/>
        </w:rPr>
        <w:t>Refer</w:t>
      </w:r>
      <w:r>
        <w:rPr>
          <w:sz w:val="26"/>
          <w:szCs w:val="26"/>
        </w:rPr>
        <w:t>e</w:t>
      </w:r>
      <w:r w:rsidRPr="00011820">
        <w:rPr>
          <w:sz w:val="26"/>
          <w:szCs w:val="26"/>
        </w:rPr>
        <w:t>nc</w:t>
      </w:r>
      <w:r>
        <w:rPr>
          <w:sz w:val="26"/>
          <w:szCs w:val="26"/>
        </w:rPr>
        <w:t>e</w:t>
      </w:r>
      <w:r w:rsidRPr="00011820">
        <w:rPr>
          <w:sz w:val="26"/>
          <w:szCs w:val="26"/>
        </w:rPr>
        <w:t>s</w:t>
      </w:r>
    </w:p>
    <w:p w14:paraId="47611DFD" w14:textId="77777777" w:rsidR="00452DB6" w:rsidRPr="00AD130C" w:rsidRDefault="00452DB6" w:rsidP="00452DB6">
      <w:pPr>
        <w:pStyle w:val="SubsequentParagraphsTextStyle"/>
        <w:ind w:firstLine="0"/>
        <w:rPr>
          <w:rFonts w:asciiTheme="minorHAnsi" w:hAnsiTheme="minorHAnsi"/>
          <w:sz w:val="22"/>
          <w:szCs w:val="22"/>
          <w:lang w:val="es-E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proofErr w:type="spellStart"/>
      <w:r w:rsidRPr="00AD130C">
        <w:rPr>
          <w:rFonts w:asciiTheme="minorHAnsi" w:hAnsiTheme="minorHAnsi"/>
          <w:sz w:val="22"/>
          <w:szCs w:val="22"/>
          <w:lang w:val="es-ES"/>
        </w:rPr>
        <w:t>Examples</w:t>
      </w:r>
      <w:proofErr w:type="spellEnd"/>
      <w:r w:rsidRPr="00AD130C">
        <w:rPr>
          <w:rFonts w:asciiTheme="minorHAnsi" w:hAnsiTheme="minorHAnsi"/>
          <w:sz w:val="22"/>
          <w:szCs w:val="22"/>
          <w:lang w:val="es-ES"/>
        </w:rPr>
        <w:t>:</w:t>
      </w:r>
    </w:p>
    <w:p w14:paraId="73C85643" w14:textId="77777777" w:rsidR="00452DB6" w:rsidRPr="00AD130C" w:rsidRDefault="00452DB6" w:rsidP="00452DB6">
      <w:pPr>
        <w:pStyle w:val="ReferncesText"/>
        <w:rPr>
          <w:szCs w:val="20"/>
          <w:lang w:val="es-ES"/>
        </w:rPr>
      </w:pPr>
    </w:p>
    <w:p w14:paraId="6CF89AC5"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A659BC">
        <w:rPr>
          <w:rFonts w:ascii="Cambria" w:eastAsia="Times New Roman" w:hAnsi="Cambria" w:cs="Segoe UI"/>
          <w:sz w:val="22"/>
          <w:szCs w:val="22"/>
          <w:lang w:val="es-ES" w:eastAsia="es-ES"/>
        </w:rPr>
        <w:t>Acero, J., Bustos, E., &amp; Quesada, D. (1982).</w:t>
      </w:r>
      <w:r w:rsidRPr="00A659BC">
        <w:rPr>
          <w:rFonts w:ascii="Cambria" w:eastAsia="Times New Roman" w:hAnsi="Cambria" w:cs="Segoe UI"/>
          <w:i/>
          <w:iCs/>
          <w:sz w:val="22"/>
          <w:szCs w:val="22"/>
          <w:lang w:val="es-ES" w:eastAsia="es-ES"/>
        </w:rPr>
        <w:t> </w:t>
      </w:r>
      <w:r w:rsidRPr="0070175A">
        <w:rPr>
          <w:rFonts w:ascii="Cambria" w:eastAsia="Times New Roman" w:hAnsi="Cambria" w:cs="Segoe UI"/>
          <w:i/>
          <w:iCs/>
          <w:sz w:val="22"/>
          <w:szCs w:val="22"/>
          <w:lang w:val="es-ES" w:eastAsia="es-ES"/>
        </w:rPr>
        <w:t>Introducción a la filosofía del lenguaje</w:t>
      </w:r>
      <w:r w:rsidRPr="0070175A">
        <w:rPr>
          <w:rFonts w:ascii="Cambria" w:eastAsia="Times New Roman" w:hAnsi="Cambria" w:cs="Segoe UI"/>
          <w:sz w:val="22"/>
          <w:szCs w:val="22"/>
          <w:lang w:val="es-ES" w:eastAsia="es-ES"/>
        </w:rPr>
        <w:t xml:space="preserve">. </w:t>
      </w:r>
      <w:proofErr w:type="spellStart"/>
      <w:r w:rsidRPr="0070175A">
        <w:rPr>
          <w:rFonts w:ascii="Cambria" w:eastAsia="Times New Roman" w:hAnsi="Cambria" w:cs="Segoe UI"/>
          <w:sz w:val="22"/>
          <w:szCs w:val="22"/>
          <w:lang w:val="en-GB" w:eastAsia="es-ES"/>
        </w:rPr>
        <w:t>Cátedra</w:t>
      </w:r>
      <w:proofErr w:type="spellEnd"/>
      <w:r w:rsidRPr="0070175A">
        <w:rPr>
          <w:rFonts w:ascii="Cambria" w:eastAsia="Times New Roman" w:hAnsi="Cambria" w:cs="Segoe UI"/>
          <w:sz w:val="22"/>
          <w:szCs w:val="22"/>
          <w:lang w:val="en-GB" w:eastAsia="es-ES"/>
        </w:rPr>
        <w:t>.</w:t>
      </w:r>
    </w:p>
    <w:p w14:paraId="185675D3"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Collins, J., Hall, N., &amp; Paul, A. (Eds.). (2004). </w:t>
      </w:r>
      <w:r w:rsidRPr="0070175A">
        <w:rPr>
          <w:rFonts w:ascii="Cambria" w:eastAsia="Times New Roman" w:hAnsi="Cambria" w:cs="Segoe UI"/>
          <w:i/>
          <w:iCs/>
          <w:sz w:val="22"/>
          <w:szCs w:val="22"/>
          <w:lang w:val="en-GB" w:eastAsia="es-ES"/>
        </w:rPr>
        <w:t>Causation and Counterfactuals</w:t>
      </w:r>
      <w:r w:rsidRPr="0070175A">
        <w:rPr>
          <w:rFonts w:ascii="Cambria" w:eastAsia="Times New Roman" w:hAnsi="Cambria" w:cs="Segoe UI"/>
          <w:sz w:val="22"/>
          <w:szCs w:val="22"/>
          <w:lang w:val="en-GB" w:eastAsia="es-ES"/>
        </w:rPr>
        <w:t>. The MIT Press.</w:t>
      </w:r>
    </w:p>
    <w:p w14:paraId="47F2D5AD"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Horkheimer, M., &amp; Adorno, T. W. (1972). </w:t>
      </w:r>
      <w:r w:rsidRPr="0070175A">
        <w:rPr>
          <w:rFonts w:ascii="Cambria" w:eastAsia="Times New Roman" w:hAnsi="Cambria" w:cs="Segoe UI"/>
          <w:i/>
          <w:iCs/>
          <w:sz w:val="22"/>
          <w:szCs w:val="22"/>
          <w:lang w:val="en-GB" w:eastAsia="es-ES"/>
        </w:rPr>
        <w:t>Dialectic of Enlightenment</w:t>
      </w:r>
      <w:r w:rsidRPr="0070175A">
        <w:rPr>
          <w:rFonts w:ascii="Cambria" w:eastAsia="Times New Roman" w:hAnsi="Cambria" w:cs="Segoe UI"/>
          <w:sz w:val="22"/>
          <w:szCs w:val="22"/>
          <w:lang w:val="en-GB" w:eastAsia="es-ES"/>
        </w:rPr>
        <w:t>. Herder and Herder.</w:t>
      </w:r>
    </w:p>
    <w:p w14:paraId="49FC2643"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Husserl, E. (1950). </w:t>
      </w:r>
      <w:proofErr w:type="spellStart"/>
      <w:r w:rsidRPr="0070175A">
        <w:rPr>
          <w:rFonts w:ascii="Cambria" w:eastAsia="Times New Roman" w:hAnsi="Cambria" w:cs="Segoe UI"/>
          <w:i/>
          <w:iCs/>
          <w:sz w:val="22"/>
          <w:szCs w:val="22"/>
          <w:lang w:val="en-GB" w:eastAsia="es-ES"/>
        </w:rPr>
        <w:t>Cartesianische</w:t>
      </w:r>
      <w:proofErr w:type="spellEnd"/>
      <w:r w:rsidRPr="0070175A">
        <w:rPr>
          <w:rFonts w:ascii="Cambria" w:eastAsia="Times New Roman" w:hAnsi="Cambria" w:cs="Segoe UI"/>
          <w:i/>
          <w:iCs/>
          <w:sz w:val="22"/>
          <w:szCs w:val="22"/>
          <w:lang w:val="en-GB" w:eastAsia="es-ES"/>
        </w:rPr>
        <w:t xml:space="preserve"> </w:t>
      </w:r>
      <w:proofErr w:type="spellStart"/>
      <w:r w:rsidRPr="0070175A">
        <w:rPr>
          <w:rFonts w:ascii="Cambria" w:eastAsia="Times New Roman" w:hAnsi="Cambria" w:cs="Segoe UI"/>
          <w:i/>
          <w:iCs/>
          <w:sz w:val="22"/>
          <w:szCs w:val="22"/>
          <w:lang w:val="en-GB" w:eastAsia="es-ES"/>
        </w:rPr>
        <w:t>Meditationen</w:t>
      </w:r>
      <w:proofErr w:type="spellEnd"/>
      <w:r w:rsidRPr="0070175A">
        <w:rPr>
          <w:rFonts w:ascii="Cambria" w:eastAsia="Times New Roman" w:hAnsi="Cambria" w:cs="Segoe UI"/>
          <w:i/>
          <w:iCs/>
          <w:sz w:val="22"/>
          <w:szCs w:val="22"/>
          <w:lang w:val="en-GB" w:eastAsia="es-ES"/>
        </w:rPr>
        <w:t xml:space="preserve"> und </w:t>
      </w:r>
      <w:proofErr w:type="spellStart"/>
      <w:r w:rsidRPr="0070175A">
        <w:rPr>
          <w:rFonts w:ascii="Cambria" w:eastAsia="Times New Roman" w:hAnsi="Cambria" w:cs="Segoe UI"/>
          <w:i/>
          <w:iCs/>
          <w:sz w:val="22"/>
          <w:szCs w:val="22"/>
          <w:lang w:val="en-GB" w:eastAsia="es-ES"/>
        </w:rPr>
        <w:t>Pariser</w:t>
      </w:r>
      <w:proofErr w:type="spellEnd"/>
      <w:r w:rsidRPr="0070175A">
        <w:rPr>
          <w:rFonts w:ascii="Cambria" w:eastAsia="Times New Roman" w:hAnsi="Cambria" w:cs="Segoe UI"/>
          <w:i/>
          <w:iCs/>
          <w:sz w:val="22"/>
          <w:szCs w:val="22"/>
          <w:lang w:val="en-GB" w:eastAsia="es-ES"/>
        </w:rPr>
        <w:t xml:space="preserve"> </w:t>
      </w:r>
      <w:proofErr w:type="spellStart"/>
      <w:r w:rsidRPr="0070175A">
        <w:rPr>
          <w:rFonts w:ascii="Cambria" w:eastAsia="Times New Roman" w:hAnsi="Cambria" w:cs="Segoe UI"/>
          <w:i/>
          <w:iCs/>
          <w:sz w:val="22"/>
          <w:szCs w:val="22"/>
          <w:lang w:val="en-GB" w:eastAsia="es-ES"/>
        </w:rPr>
        <w:t>Vorträge</w:t>
      </w:r>
      <w:proofErr w:type="spellEnd"/>
      <w:r w:rsidRPr="0070175A">
        <w:rPr>
          <w:rFonts w:ascii="Cambria" w:eastAsia="Times New Roman" w:hAnsi="Cambria" w:cs="Segoe UI"/>
          <w:sz w:val="22"/>
          <w:szCs w:val="22"/>
          <w:lang w:val="en-GB" w:eastAsia="es-ES"/>
        </w:rPr>
        <w:t xml:space="preserve">. </w:t>
      </w:r>
      <w:proofErr w:type="spellStart"/>
      <w:r w:rsidRPr="0070175A">
        <w:rPr>
          <w:rFonts w:ascii="Cambria" w:eastAsia="Times New Roman" w:hAnsi="Cambria" w:cs="Segoe UI"/>
          <w:sz w:val="22"/>
          <w:szCs w:val="22"/>
          <w:lang w:val="en-GB" w:eastAsia="es-ES"/>
        </w:rPr>
        <w:t>Nijhoff</w:t>
      </w:r>
      <w:proofErr w:type="spellEnd"/>
      <w:r w:rsidRPr="0070175A">
        <w:rPr>
          <w:rFonts w:ascii="Cambria" w:eastAsia="Times New Roman" w:hAnsi="Cambria" w:cs="Segoe UI"/>
          <w:sz w:val="22"/>
          <w:szCs w:val="22"/>
          <w:lang w:val="en-GB" w:eastAsia="es-ES"/>
        </w:rPr>
        <w:t>, Den Haag. </w:t>
      </w:r>
      <w:hyperlink r:id="rId12" w:history="1">
        <w:r w:rsidRPr="0070175A">
          <w:rPr>
            <w:rStyle w:val="Hipervnculo"/>
            <w:rFonts w:ascii="Cambria" w:eastAsia="Times New Roman" w:hAnsi="Cambria" w:cs="Segoe UI"/>
            <w:sz w:val="22"/>
            <w:szCs w:val="22"/>
            <w:lang w:val="en-GB" w:eastAsia="es-ES"/>
          </w:rPr>
          <w:t>https://ophen.org/pub-109001</w:t>
        </w:r>
      </w:hyperlink>
    </w:p>
    <w:p w14:paraId="6954BF10"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Kar, E. (2019). </w:t>
      </w:r>
      <w:r w:rsidRPr="0070175A">
        <w:rPr>
          <w:rFonts w:ascii="Cambria" w:eastAsia="Times New Roman" w:hAnsi="Cambria" w:cs="Segoe UI"/>
          <w:i/>
          <w:iCs/>
          <w:sz w:val="22"/>
          <w:szCs w:val="22"/>
          <w:lang w:val="en-GB" w:eastAsia="es-ES"/>
        </w:rPr>
        <w:t>Universality and Particularity of Aristotelian Substances.</w:t>
      </w:r>
      <w:r w:rsidRPr="0070175A">
        <w:rPr>
          <w:rFonts w:ascii="Cambria" w:eastAsia="Times New Roman" w:hAnsi="Cambria" w:cs="Segoe UI"/>
          <w:sz w:val="22"/>
          <w:szCs w:val="22"/>
          <w:lang w:val="en-GB" w:eastAsia="es-ES"/>
        </w:rPr>
        <w:t> [Doctoral thesis]. The University of Bristol. </w:t>
      </w:r>
      <w:hyperlink r:id="rId13" w:history="1">
        <w:r w:rsidRPr="0070175A">
          <w:rPr>
            <w:rStyle w:val="Hipervnculo"/>
            <w:rFonts w:ascii="Cambria" w:eastAsia="Times New Roman" w:hAnsi="Cambria" w:cs="Segoe UI"/>
            <w:sz w:val="22"/>
            <w:szCs w:val="22"/>
            <w:lang w:val="en-GB" w:eastAsia="es-ES"/>
          </w:rPr>
          <w:t>https://research-information.bris.ac.uk/ws/portalfiles/portal/204326248/Final_Copy_2019_06_25_Kar_E_PhD.pdf</w:t>
        </w:r>
      </w:hyperlink>
    </w:p>
    <w:p w14:paraId="7332CA23"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proofErr w:type="spellStart"/>
      <w:r w:rsidRPr="0070175A">
        <w:rPr>
          <w:rFonts w:ascii="Cambria" w:eastAsia="Times New Roman" w:hAnsi="Cambria" w:cs="Segoe UI"/>
          <w:sz w:val="22"/>
          <w:szCs w:val="22"/>
          <w:lang w:val="en-GB" w:eastAsia="es-ES"/>
        </w:rPr>
        <w:t>Kitsantonis</w:t>
      </w:r>
      <w:proofErr w:type="spellEnd"/>
      <w:r w:rsidRPr="0070175A">
        <w:rPr>
          <w:rFonts w:ascii="Cambria" w:eastAsia="Times New Roman" w:hAnsi="Cambria" w:cs="Segoe UI"/>
          <w:sz w:val="22"/>
          <w:szCs w:val="22"/>
          <w:lang w:val="en-GB" w:eastAsia="es-ES"/>
        </w:rPr>
        <w:t>, N. (2016, May 26). Greek Archaeologist Says He Has Found Aristotle’s Tomb. </w:t>
      </w:r>
      <w:r w:rsidRPr="0070175A">
        <w:rPr>
          <w:rFonts w:ascii="Cambria" w:eastAsia="Times New Roman" w:hAnsi="Cambria" w:cs="Segoe UI"/>
          <w:i/>
          <w:iCs/>
          <w:sz w:val="22"/>
          <w:szCs w:val="22"/>
          <w:lang w:val="en-GB" w:eastAsia="es-ES"/>
        </w:rPr>
        <w:t>The New York Times.</w:t>
      </w:r>
      <w:r w:rsidRPr="0070175A">
        <w:rPr>
          <w:rFonts w:ascii="Cambria" w:eastAsia="Times New Roman" w:hAnsi="Cambria" w:cs="Segoe UI"/>
          <w:sz w:val="22"/>
          <w:szCs w:val="22"/>
          <w:lang w:val="en-GB" w:eastAsia="es-ES"/>
        </w:rPr>
        <w:t> </w:t>
      </w:r>
      <w:hyperlink r:id="rId14" w:history="1">
        <w:r w:rsidRPr="0070175A">
          <w:rPr>
            <w:rStyle w:val="Hipervnculo"/>
            <w:rFonts w:ascii="Cambria" w:eastAsia="Times New Roman" w:hAnsi="Cambria" w:cs="Segoe UI"/>
            <w:sz w:val="22"/>
            <w:szCs w:val="22"/>
            <w:lang w:val="en-GB" w:eastAsia="es-ES"/>
          </w:rPr>
          <w:t>https://www.nytimes.com/2016/05/27/world/europe/greece-aristotle-tomb.html</w:t>
        </w:r>
      </w:hyperlink>
    </w:p>
    <w:p w14:paraId="7E818E2E"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proofErr w:type="spellStart"/>
      <w:r w:rsidRPr="0070175A">
        <w:rPr>
          <w:rFonts w:ascii="Cambria" w:eastAsia="Times New Roman" w:hAnsi="Cambria" w:cs="Segoe UI"/>
          <w:sz w:val="22"/>
          <w:szCs w:val="22"/>
          <w:lang w:val="en-GB" w:eastAsia="es-ES"/>
        </w:rPr>
        <w:t>Kripke</w:t>
      </w:r>
      <w:proofErr w:type="spellEnd"/>
      <w:r w:rsidRPr="0070175A">
        <w:rPr>
          <w:rFonts w:ascii="Cambria" w:eastAsia="Times New Roman" w:hAnsi="Cambria" w:cs="Segoe UI"/>
          <w:sz w:val="22"/>
          <w:szCs w:val="22"/>
          <w:lang w:val="en-GB" w:eastAsia="es-ES"/>
        </w:rPr>
        <w:t>, S. (1980). </w:t>
      </w:r>
      <w:r w:rsidRPr="0070175A">
        <w:rPr>
          <w:rFonts w:ascii="Cambria" w:eastAsia="Times New Roman" w:hAnsi="Cambria" w:cs="Segoe UI"/>
          <w:i/>
          <w:iCs/>
          <w:sz w:val="22"/>
          <w:szCs w:val="22"/>
          <w:lang w:val="en-GB" w:eastAsia="es-ES"/>
        </w:rPr>
        <w:t>Naming and Necessity</w:t>
      </w:r>
      <w:r w:rsidRPr="0070175A">
        <w:rPr>
          <w:rFonts w:ascii="Cambria" w:eastAsia="Times New Roman" w:hAnsi="Cambria" w:cs="Segoe UI"/>
          <w:sz w:val="22"/>
          <w:szCs w:val="22"/>
          <w:lang w:val="en-GB" w:eastAsia="es-ES"/>
        </w:rPr>
        <w:t>. Harvard University Press.</w:t>
      </w:r>
    </w:p>
    <w:p w14:paraId="4B388973"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proofErr w:type="spellStart"/>
      <w:r w:rsidRPr="0070175A">
        <w:rPr>
          <w:rFonts w:ascii="Cambria" w:eastAsia="Times New Roman" w:hAnsi="Cambria" w:cs="Segoe UI"/>
          <w:sz w:val="22"/>
          <w:szCs w:val="22"/>
          <w:lang w:val="en-GB" w:eastAsia="es-ES"/>
        </w:rPr>
        <w:t>Mullett</w:t>
      </w:r>
      <w:proofErr w:type="spellEnd"/>
      <w:r w:rsidRPr="0070175A">
        <w:rPr>
          <w:rFonts w:ascii="Cambria" w:eastAsia="Times New Roman" w:hAnsi="Cambria" w:cs="Segoe UI"/>
          <w:sz w:val="22"/>
          <w:szCs w:val="22"/>
          <w:lang w:val="en-GB" w:eastAsia="es-ES"/>
        </w:rPr>
        <w:t>, M. (2021, April 20).</w:t>
      </w:r>
      <w:r w:rsidRPr="0070175A">
        <w:rPr>
          <w:rFonts w:ascii="Cambria" w:eastAsia="Times New Roman" w:hAnsi="Cambria" w:cs="Segoe UI"/>
          <w:i/>
          <w:iCs/>
          <w:sz w:val="22"/>
          <w:szCs w:val="22"/>
          <w:lang w:val="en-GB" w:eastAsia="es-ES"/>
        </w:rPr>
        <w:t xml:space="preserve"> Performance Issues in the Christos </w:t>
      </w:r>
      <w:proofErr w:type="spellStart"/>
      <w:r w:rsidRPr="0070175A">
        <w:rPr>
          <w:rFonts w:ascii="Cambria" w:eastAsia="Times New Roman" w:hAnsi="Cambria" w:cs="Segoe UI"/>
          <w:i/>
          <w:iCs/>
          <w:sz w:val="22"/>
          <w:szCs w:val="22"/>
          <w:lang w:val="en-GB" w:eastAsia="es-ES"/>
        </w:rPr>
        <w:t>Paschon</w:t>
      </w:r>
      <w:proofErr w:type="spellEnd"/>
      <w:r w:rsidRPr="0070175A">
        <w:rPr>
          <w:rFonts w:ascii="Cambria" w:eastAsia="Times New Roman" w:hAnsi="Cambria" w:cs="Segoe UI"/>
          <w:i/>
          <w:iCs/>
          <w:sz w:val="22"/>
          <w:szCs w:val="22"/>
          <w:lang w:val="en-GB" w:eastAsia="es-ES"/>
        </w:rPr>
        <w:t>.</w:t>
      </w:r>
      <w:r w:rsidRPr="0070175A">
        <w:rPr>
          <w:rFonts w:ascii="Cambria" w:eastAsia="Times New Roman" w:hAnsi="Cambria" w:cs="Segoe UI"/>
          <w:sz w:val="22"/>
          <w:szCs w:val="22"/>
          <w:lang w:val="en-GB" w:eastAsia="es-ES"/>
        </w:rPr>
        <w:t xml:space="preserve"> [Video]. GKA HUMAN 2021 - 10th International Conference on Humanities. </w:t>
      </w:r>
      <w:hyperlink r:id="rId15" w:history="1">
        <w:r w:rsidRPr="0070175A">
          <w:rPr>
            <w:rStyle w:val="Hipervnculo"/>
            <w:rFonts w:ascii="Cambria" w:eastAsia="Times New Roman" w:hAnsi="Cambria" w:cs="Segoe UI"/>
            <w:sz w:val="22"/>
            <w:szCs w:val="22"/>
            <w:lang w:val="en-GB" w:eastAsia="es-ES"/>
          </w:rPr>
          <w:t>https://events.gkacademics.com/dashboard/videos/105</w:t>
        </w:r>
      </w:hyperlink>
    </w:p>
    <w:p w14:paraId="52FDDBAA"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lastRenderedPageBreak/>
        <w:t>Quine, W. O. (1951). Two Dogmas of Empiricism, </w:t>
      </w:r>
      <w:r w:rsidRPr="0070175A">
        <w:rPr>
          <w:rFonts w:ascii="Cambria" w:eastAsia="Times New Roman" w:hAnsi="Cambria" w:cs="Segoe UI"/>
          <w:i/>
          <w:iCs/>
          <w:sz w:val="22"/>
          <w:szCs w:val="22"/>
          <w:lang w:val="en-GB" w:eastAsia="es-ES"/>
        </w:rPr>
        <w:t>The Philosophical Review</w:t>
      </w:r>
      <w:r w:rsidRPr="0070175A">
        <w:rPr>
          <w:rFonts w:ascii="Cambria" w:eastAsia="Times New Roman" w:hAnsi="Cambria" w:cs="Segoe UI"/>
          <w:sz w:val="22"/>
          <w:szCs w:val="22"/>
          <w:lang w:val="en-GB" w:eastAsia="es-ES"/>
        </w:rPr>
        <w:t>, 60, 20–43.</w:t>
      </w:r>
    </w:p>
    <w:p w14:paraId="6FE0EF42"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Quine, W. O.  (1960). </w:t>
      </w:r>
      <w:r w:rsidRPr="0070175A">
        <w:rPr>
          <w:rFonts w:ascii="Cambria" w:eastAsia="Times New Roman" w:hAnsi="Cambria" w:cs="Segoe UI"/>
          <w:i/>
          <w:iCs/>
          <w:sz w:val="22"/>
          <w:szCs w:val="22"/>
          <w:lang w:val="en-GB" w:eastAsia="es-ES"/>
        </w:rPr>
        <w:t>Word and Object</w:t>
      </w:r>
      <w:r w:rsidRPr="0070175A">
        <w:rPr>
          <w:rFonts w:ascii="Cambria" w:eastAsia="Times New Roman" w:hAnsi="Cambria" w:cs="Segoe UI"/>
          <w:sz w:val="22"/>
          <w:szCs w:val="22"/>
          <w:lang w:val="en-GB" w:eastAsia="es-ES"/>
        </w:rPr>
        <w:t>. MIT Press.</w:t>
      </w:r>
    </w:p>
    <w:p w14:paraId="2347A366"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proofErr w:type="spellStart"/>
      <w:r w:rsidRPr="0070175A">
        <w:rPr>
          <w:rFonts w:ascii="Cambria" w:eastAsia="Times New Roman" w:hAnsi="Cambria" w:cs="Segoe UI"/>
          <w:sz w:val="22"/>
          <w:szCs w:val="22"/>
          <w:lang w:val="en-GB" w:eastAsia="es-ES"/>
        </w:rPr>
        <w:t>Ruhe</w:t>
      </w:r>
      <w:proofErr w:type="spellEnd"/>
      <w:r w:rsidRPr="0070175A">
        <w:rPr>
          <w:rFonts w:ascii="Cambria" w:eastAsia="Times New Roman" w:hAnsi="Cambria" w:cs="Segoe UI"/>
          <w:sz w:val="22"/>
          <w:szCs w:val="22"/>
          <w:lang w:val="en-GB" w:eastAsia="es-ES"/>
        </w:rPr>
        <w:t>, P. (2001, February 5). Pair of Recitals Show Musicians’ Contrasting Styles. </w:t>
      </w:r>
      <w:r w:rsidRPr="0070175A">
        <w:rPr>
          <w:rFonts w:ascii="Cambria" w:eastAsia="Times New Roman" w:hAnsi="Cambria" w:cs="Segoe UI"/>
          <w:i/>
          <w:iCs/>
          <w:sz w:val="22"/>
          <w:szCs w:val="22"/>
          <w:lang w:val="en-GB" w:eastAsia="es-ES"/>
        </w:rPr>
        <w:t>The Atlanta Journal and Constitution,</w:t>
      </w:r>
      <w:r w:rsidRPr="0070175A">
        <w:rPr>
          <w:rFonts w:ascii="Cambria" w:eastAsia="Times New Roman" w:hAnsi="Cambria" w:cs="Segoe UI"/>
          <w:sz w:val="22"/>
          <w:szCs w:val="22"/>
          <w:lang w:val="en-GB" w:eastAsia="es-ES"/>
        </w:rPr>
        <w:t> p. 5 D.</w:t>
      </w:r>
    </w:p>
    <w:p w14:paraId="0E54539A"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Rutherford, D. (1994). Philosophy and language in Leibniz. In N. Jolley (Ed.), </w:t>
      </w:r>
      <w:r w:rsidRPr="0070175A">
        <w:rPr>
          <w:rFonts w:ascii="Cambria" w:eastAsia="Times New Roman" w:hAnsi="Cambria" w:cs="Segoe UI"/>
          <w:i/>
          <w:iCs/>
          <w:sz w:val="22"/>
          <w:szCs w:val="22"/>
          <w:lang w:val="en-GB" w:eastAsia="es-ES"/>
        </w:rPr>
        <w:t>The Cambridge Companion to Leibniz </w:t>
      </w:r>
      <w:r w:rsidRPr="0070175A">
        <w:rPr>
          <w:rFonts w:ascii="Cambria" w:eastAsia="Times New Roman" w:hAnsi="Cambria" w:cs="Segoe UI"/>
          <w:sz w:val="22"/>
          <w:szCs w:val="22"/>
          <w:lang w:val="en-GB" w:eastAsia="es-ES"/>
        </w:rPr>
        <w:t xml:space="preserve">(pp. 224-269). Cambridge University Press. </w:t>
      </w:r>
      <w:hyperlink r:id="rId16" w:history="1">
        <w:r w:rsidRPr="0070175A">
          <w:rPr>
            <w:rStyle w:val="Hipervnculo"/>
            <w:rFonts w:ascii="Cambria" w:eastAsia="Times New Roman" w:hAnsi="Cambria" w:cs="Segoe UI"/>
            <w:sz w:val="22"/>
            <w:szCs w:val="22"/>
            <w:lang w:val="en-GB" w:eastAsia="es-ES"/>
          </w:rPr>
          <w:t>https://doi.org/10.1017/CCOL0521365880.008</w:t>
        </w:r>
      </w:hyperlink>
    </w:p>
    <w:p w14:paraId="541802BA"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Searle, J. (1968) Austin on locutionary and illocutionary acts. </w:t>
      </w:r>
      <w:r w:rsidRPr="0070175A">
        <w:rPr>
          <w:rFonts w:ascii="Cambria" w:eastAsia="Times New Roman" w:hAnsi="Cambria" w:cs="Segoe UI"/>
          <w:i/>
          <w:iCs/>
          <w:sz w:val="22"/>
          <w:szCs w:val="22"/>
          <w:lang w:val="en-GB" w:eastAsia="es-ES"/>
        </w:rPr>
        <w:t>The Philosophical Review</w:t>
      </w:r>
      <w:r w:rsidRPr="0070175A">
        <w:rPr>
          <w:rFonts w:ascii="Cambria" w:eastAsia="Times New Roman" w:hAnsi="Cambria" w:cs="Segoe UI"/>
          <w:sz w:val="22"/>
          <w:szCs w:val="22"/>
          <w:lang w:val="en-GB" w:eastAsia="es-ES"/>
        </w:rPr>
        <w:t>, </w:t>
      </w:r>
      <w:r w:rsidRPr="0070175A">
        <w:rPr>
          <w:rFonts w:ascii="Cambria" w:eastAsia="Times New Roman" w:hAnsi="Cambria" w:cs="Segoe UI"/>
          <w:i/>
          <w:iCs/>
          <w:sz w:val="22"/>
          <w:szCs w:val="22"/>
          <w:lang w:val="en-GB" w:eastAsia="es-ES"/>
        </w:rPr>
        <w:t>77</w:t>
      </w:r>
      <w:r w:rsidRPr="0070175A">
        <w:rPr>
          <w:rFonts w:ascii="Cambria" w:eastAsia="Times New Roman" w:hAnsi="Cambria" w:cs="Segoe UI"/>
          <w:sz w:val="22"/>
          <w:szCs w:val="22"/>
          <w:lang w:val="en-GB" w:eastAsia="es-ES"/>
        </w:rPr>
        <w:t>(4), 405–424. </w:t>
      </w:r>
      <w:hyperlink r:id="rId17" w:history="1">
        <w:r w:rsidRPr="0070175A">
          <w:rPr>
            <w:rStyle w:val="Hipervnculo"/>
            <w:rFonts w:ascii="Cambria" w:eastAsia="Times New Roman" w:hAnsi="Cambria" w:cs="Segoe UI"/>
            <w:sz w:val="22"/>
            <w:szCs w:val="22"/>
            <w:lang w:val="en-GB" w:eastAsia="es-ES"/>
          </w:rPr>
          <w:t>https://doi.org/10.2307/2183008</w:t>
        </w:r>
      </w:hyperlink>
      <w:r w:rsidRPr="0070175A">
        <w:rPr>
          <w:rFonts w:ascii="Cambria" w:eastAsia="Times New Roman" w:hAnsi="Cambria" w:cs="Segoe UI"/>
          <w:sz w:val="22"/>
          <w:szCs w:val="22"/>
          <w:lang w:val="en-GB" w:eastAsia="es-ES"/>
        </w:rPr>
        <w:t>.</w:t>
      </w:r>
    </w:p>
    <w:p w14:paraId="382D73DC"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r w:rsidRPr="0070175A">
        <w:rPr>
          <w:rFonts w:ascii="Cambria" w:eastAsia="Times New Roman" w:hAnsi="Cambria" w:cs="Segoe UI"/>
          <w:sz w:val="22"/>
          <w:szCs w:val="22"/>
          <w:lang w:val="en-GB" w:eastAsia="es-ES"/>
        </w:rPr>
        <w:t>Stone, S. (Director). (2021). </w:t>
      </w:r>
      <w:r w:rsidRPr="0070175A">
        <w:rPr>
          <w:rFonts w:ascii="Cambria" w:eastAsia="Times New Roman" w:hAnsi="Cambria" w:cs="Segoe UI"/>
          <w:i/>
          <w:iCs/>
          <w:sz w:val="22"/>
          <w:szCs w:val="22"/>
          <w:lang w:val="en-GB" w:eastAsia="es-ES"/>
        </w:rPr>
        <w:t>The Dig</w:t>
      </w:r>
      <w:r w:rsidRPr="0070175A">
        <w:rPr>
          <w:rFonts w:ascii="Cambria" w:eastAsia="Times New Roman" w:hAnsi="Cambria" w:cs="Segoe UI"/>
          <w:sz w:val="22"/>
          <w:szCs w:val="22"/>
          <w:lang w:val="en-GB" w:eastAsia="es-ES"/>
        </w:rPr>
        <w:t>. [Film].  BBC Films &amp; Netflix.</w:t>
      </w:r>
    </w:p>
    <w:p w14:paraId="42C2940A" w14:textId="77777777" w:rsidR="0070175A" w:rsidRPr="0070175A" w:rsidRDefault="0070175A" w:rsidP="0070175A">
      <w:pPr>
        <w:shd w:val="clear" w:color="auto" w:fill="FFFFFF"/>
        <w:spacing w:after="0" w:line="240" w:lineRule="auto"/>
        <w:ind w:left="720" w:hanging="720"/>
        <w:rPr>
          <w:rFonts w:ascii="Cambria" w:eastAsia="Times New Roman" w:hAnsi="Cambria" w:cs="Segoe UI"/>
          <w:sz w:val="22"/>
          <w:szCs w:val="22"/>
          <w:lang w:val="en-GB" w:eastAsia="es-ES"/>
        </w:rPr>
      </w:pPr>
      <w:proofErr w:type="spellStart"/>
      <w:r w:rsidRPr="0070175A">
        <w:rPr>
          <w:rFonts w:ascii="Cambria" w:eastAsia="Times New Roman" w:hAnsi="Cambria" w:cs="Segoe UI"/>
          <w:sz w:val="22"/>
          <w:szCs w:val="22"/>
          <w:lang w:val="en-GB" w:eastAsia="es-ES"/>
        </w:rPr>
        <w:t>Waldstein</w:t>
      </w:r>
      <w:proofErr w:type="spellEnd"/>
      <w:r w:rsidRPr="0070175A">
        <w:rPr>
          <w:rFonts w:ascii="Cambria" w:eastAsia="Times New Roman" w:hAnsi="Cambria" w:cs="Segoe UI"/>
          <w:sz w:val="22"/>
          <w:szCs w:val="22"/>
          <w:lang w:val="en-GB" w:eastAsia="es-ES"/>
        </w:rPr>
        <w:t xml:space="preserve">, P. (2016, October 6). Peter </w:t>
      </w:r>
      <w:proofErr w:type="spellStart"/>
      <w:r w:rsidRPr="0070175A">
        <w:rPr>
          <w:rFonts w:ascii="Cambria" w:eastAsia="Times New Roman" w:hAnsi="Cambria" w:cs="Segoe UI"/>
          <w:sz w:val="22"/>
          <w:szCs w:val="22"/>
          <w:lang w:val="en-GB" w:eastAsia="es-ES"/>
        </w:rPr>
        <w:t>Kalkavage</w:t>
      </w:r>
      <w:proofErr w:type="spellEnd"/>
      <w:r w:rsidRPr="0070175A">
        <w:rPr>
          <w:rFonts w:ascii="Cambria" w:eastAsia="Times New Roman" w:hAnsi="Cambria" w:cs="Segoe UI"/>
          <w:sz w:val="22"/>
          <w:szCs w:val="22"/>
          <w:lang w:val="en-GB" w:eastAsia="es-ES"/>
        </w:rPr>
        <w:t xml:space="preserve"> on Hegel’s Anti-Aristotelian Account of Desire. </w:t>
      </w:r>
      <w:proofErr w:type="spellStart"/>
      <w:r w:rsidRPr="0070175A">
        <w:rPr>
          <w:rFonts w:ascii="Cambria" w:eastAsia="Times New Roman" w:hAnsi="Cambria" w:cs="Segoe UI"/>
          <w:i/>
          <w:iCs/>
          <w:sz w:val="22"/>
          <w:szCs w:val="22"/>
          <w:lang w:val="en-GB" w:eastAsia="es-ES"/>
        </w:rPr>
        <w:t>Sancrucensis</w:t>
      </w:r>
      <w:proofErr w:type="spellEnd"/>
      <w:r w:rsidRPr="0070175A">
        <w:rPr>
          <w:rFonts w:ascii="Cambria" w:eastAsia="Times New Roman" w:hAnsi="Cambria" w:cs="Segoe UI"/>
          <w:i/>
          <w:iCs/>
          <w:sz w:val="22"/>
          <w:szCs w:val="22"/>
          <w:lang w:val="en-GB" w:eastAsia="es-ES"/>
        </w:rPr>
        <w:t>.  </w:t>
      </w:r>
      <w:hyperlink r:id="rId18" w:history="1">
        <w:r w:rsidRPr="0070175A">
          <w:rPr>
            <w:rStyle w:val="Hipervnculo"/>
            <w:rFonts w:ascii="Cambria" w:eastAsia="Times New Roman" w:hAnsi="Cambria" w:cs="Segoe UI"/>
            <w:sz w:val="22"/>
            <w:szCs w:val="22"/>
            <w:lang w:val="en-GB" w:eastAsia="es-ES"/>
          </w:rPr>
          <w:t>https://sancrucensis.wordpress.com/2016/10/06/peter-kalkavage-on-hegels-anti-aristotelian-account-of-desire/</w:t>
        </w:r>
      </w:hyperlink>
    </w:p>
    <w:p w14:paraId="71B6E94C" w14:textId="77777777" w:rsidR="00452DB6" w:rsidRPr="00A659BC" w:rsidRDefault="00452DB6" w:rsidP="00452DB6">
      <w:pPr>
        <w:shd w:val="clear" w:color="auto" w:fill="FFFFFF"/>
        <w:spacing w:after="0" w:line="240" w:lineRule="auto"/>
        <w:ind w:left="720" w:hanging="720"/>
        <w:rPr>
          <w:rFonts w:ascii="Cambria" w:eastAsia="Times New Roman" w:hAnsi="Cambria" w:cs="Segoe UI"/>
          <w:color w:val="auto"/>
          <w:sz w:val="22"/>
          <w:szCs w:val="22"/>
          <w:lang w:val="en-US" w:eastAsia="es-ES"/>
        </w:rPr>
      </w:pPr>
    </w:p>
    <w:p w14:paraId="65F95725"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b/>
          <w:bCs/>
          <w:color w:val="auto"/>
          <w:sz w:val="22"/>
          <w:szCs w:val="22"/>
          <w:lang w:val="en-GB" w:eastAsia="es-ES"/>
        </w:rPr>
      </w:pPr>
      <w:r w:rsidRPr="00E56EA9">
        <w:rPr>
          <w:rFonts w:ascii="Cambria" w:eastAsia="Times New Roman" w:hAnsi="Cambria" w:cs="Segoe UI"/>
          <w:b/>
          <w:bCs/>
          <w:color w:val="auto"/>
          <w:sz w:val="22"/>
          <w:szCs w:val="22"/>
          <w:lang w:val="en-GB" w:eastAsia="es-ES"/>
        </w:rPr>
        <w:t>Classical compilations citations</w:t>
      </w:r>
    </w:p>
    <w:p w14:paraId="29911A48" w14:textId="77777777" w:rsidR="005323AD" w:rsidRDefault="005323AD" w:rsidP="005323AD">
      <w:pPr>
        <w:shd w:val="clear" w:color="auto" w:fill="FFFFFF"/>
        <w:spacing w:after="0" w:line="240" w:lineRule="auto"/>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Classical authors will be cited according to their explicit canonical compilations. Some examples are:</w:t>
      </w:r>
    </w:p>
    <w:p w14:paraId="0D01BEEC" w14:textId="77777777" w:rsidR="00266D91" w:rsidRPr="00E56EA9" w:rsidRDefault="00266D91" w:rsidP="005323AD">
      <w:pPr>
        <w:shd w:val="clear" w:color="auto" w:fill="FFFFFF"/>
        <w:spacing w:after="0" w:line="240" w:lineRule="auto"/>
        <w:jc w:val="left"/>
        <w:rPr>
          <w:rFonts w:ascii="Cambria" w:eastAsia="Times New Roman" w:hAnsi="Cambria" w:cs="Segoe UI"/>
          <w:color w:val="auto"/>
          <w:sz w:val="22"/>
          <w:szCs w:val="22"/>
          <w:lang w:val="en-GB" w:eastAsia="es-ES"/>
        </w:rPr>
      </w:pPr>
    </w:p>
    <w:p w14:paraId="3EAA0EF4"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Burnet, J. (1903). </w:t>
      </w:r>
      <w:r w:rsidRPr="00E56EA9">
        <w:rPr>
          <w:rFonts w:ascii="Cambria" w:eastAsia="Times New Roman" w:hAnsi="Cambria" w:cs="Segoe UI"/>
          <w:i/>
          <w:iCs/>
          <w:color w:val="auto"/>
          <w:sz w:val="22"/>
          <w:szCs w:val="22"/>
          <w:lang w:val="en-GB" w:eastAsia="es-ES"/>
        </w:rPr>
        <w:t xml:space="preserve">Plato. </w:t>
      </w:r>
      <w:proofErr w:type="spellStart"/>
      <w:r w:rsidRPr="00E56EA9">
        <w:rPr>
          <w:rFonts w:ascii="Cambria" w:eastAsia="Times New Roman" w:hAnsi="Cambria" w:cs="Segoe UI"/>
          <w:i/>
          <w:iCs/>
          <w:color w:val="auto"/>
          <w:sz w:val="22"/>
          <w:szCs w:val="22"/>
          <w:lang w:val="en-GB" w:eastAsia="es-ES"/>
        </w:rPr>
        <w:t>Platonis</w:t>
      </w:r>
      <w:proofErr w:type="spellEnd"/>
      <w:r w:rsidRPr="00E56EA9">
        <w:rPr>
          <w:rFonts w:ascii="Cambria" w:eastAsia="Times New Roman" w:hAnsi="Cambria" w:cs="Segoe UI"/>
          <w:i/>
          <w:iCs/>
          <w:color w:val="auto"/>
          <w:sz w:val="22"/>
          <w:szCs w:val="22"/>
          <w:lang w:val="en-GB" w:eastAsia="es-ES"/>
        </w:rPr>
        <w:t xml:space="preserve"> Opera</w:t>
      </w:r>
      <w:r w:rsidRPr="00E56EA9">
        <w:rPr>
          <w:rFonts w:ascii="Cambria" w:eastAsia="Times New Roman" w:hAnsi="Cambria" w:cs="Segoe UI"/>
          <w:color w:val="auto"/>
          <w:sz w:val="22"/>
          <w:szCs w:val="22"/>
          <w:lang w:val="en-GB" w:eastAsia="es-ES"/>
        </w:rPr>
        <w:t>. Oxford University Press.</w:t>
      </w:r>
    </w:p>
    <w:p w14:paraId="1D0C7578" w14:textId="77777777" w:rsidR="005323AD" w:rsidRPr="00E56EA9" w:rsidRDefault="005323AD" w:rsidP="005323AD">
      <w:pPr>
        <w:shd w:val="clear" w:color="auto" w:fill="FFFFFF"/>
        <w:spacing w:after="0" w:line="240" w:lineRule="auto"/>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“Plat., Rep., 1.327 a”.</w:t>
      </w:r>
    </w:p>
    <w:p w14:paraId="0203335F"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s-ES" w:eastAsia="es-ES"/>
        </w:rPr>
        <w:t>Diels, H. &amp; Kranz, W. (1952). </w:t>
      </w:r>
      <w:r w:rsidRPr="00E56EA9">
        <w:rPr>
          <w:rFonts w:ascii="Cambria" w:eastAsia="Times New Roman" w:hAnsi="Cambria" w:cs="Segoe UI"/>
          <w:i/>
          <w:iCs/>
          <w:color w:val="auto"/>
          <w:sz w:val="22"/>
          <w:szCs w:val="22"/>
          <w:lang w:val="es-ES" w:eastAsia="es-ES"/>
        </w:rPr>
        <w:t xml:space="preserve">Die Fragmente der </w:t>
      </w:r>
      <w:proofErr w:type="spellStart"/>
      <w:r w:rsidRPr="00E56EA9">
        <w:rPr>
          <w:rFonts w:ascii="Cambria" w:eastAsia="Times New Roman" w:hAnsi="Cambria" w:cs="Segoe UI"/>
          <w:i/>
          <w:iCs/>
          <w:color w:val="auto"/>
          <w:sz w:val="22"/>
          <w:szCs w:val="22"/>
          <w:lang w:val="es-ES" w:eastAsia="es-ES"/>
        </w:rPr>
        <w:t>Vorsokratiker</w:t>
      </w:r>
      <w:proofErr w:type="spellEnd"/>
      <w:r w:rsidRPr="00E56EA9">
        <w:rPr>
          <w:rFonts w:ascii="Cambria" w:eastAsia="Times New Roman" w:hAnsi="Cambria" w:cs="Segoe UI"/>
          <w:color w:val="auto"/>
          <w:sz w:val="22"/>
          <w:szCs w:val="22"/>
          <w:lang w:val="es-ES" w:eastAsia="es-ES"/>
        </w:rPr>
        <w:t xml:space="preserve">. </w:t>
      </w:r>
      <w:proofErr w:type="spellStart"/>
      <w:r w:rsidRPr="00E56EA9">
        <w:rPr>
          <w:rFonts w:ascii="Cambria" w:eastAsia="Times New Roman" w:hAnsi="Cambria" w:cs="Segoe UI"/>
          <w:color w:val="auto"/>
          <w:sz w:val="22"/>
          <w:szCs w:val="22"/>
          <w:lang w:val="en-GB" w:eastAsia="es-ES"/>
        </w:rPr>
        <w:t>Weidmann</w:t>
      </w:r>
      <w:proofErr w:type="spellEnd"/>
      <w:r w:rsidRPr="00E56EA9">
        <w:rPr>
          <w:rFonts w:ascii="Cambria" w:eastAsia="Times New Roman" w:hAnsi="Cambria" w:cs="Segoe UI"/>
          <w:color w:val="auto"/>
          <w:sz w:val="22"/>
          <w:szCs w:val="22"/>
          <w:lang w:val="en-GB" w:eastAsia="es-ES"/>
        </w:rPr>
        <w:t>.</w:t>
      </w:r>
    </w:p>
    <w:p w14:paraId="4FD66E85"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“Fr. 1.1 DK”.</w:t>
      </w:r>
    </w:p>
    <w:p w14:paraId="705AC832"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Hicks, R. (1972). </w:t>
      </w:r>
      <w:r w:rsidRPr="00E56EA9">
        <w:rPr>
          <w:rFonts w:ascii="Cambria" w:eastAsia="Times New Roman" w:hAnsi="Cambria" w:cs="Segoe UI"/>
          <w:i/>
          <w:iCs/>
          <w:color w:val="auto"/>
          <w:sz w:val="22"/>
          <w:szCs w:val="22"/>
          <w:lang w:val="en-GB" w:eastAsia="es-ES"/>
        </w:rPr>
        <w:t>Lives of Eminent Philosophers</w:t>
      </w:r>
      <w:r w:rsidRPr="00E56EA9">
        <w:rPr>
          <w:rFonts w:ascii="Cambria" w:eastAsia="Times New Roman" w:hAnsi="Cambria" w:cs="Segoe UI"/>
          <w:color w:val="auto"/>
          <w:sz w:val="22"/>
          <w:szCs w:val="22"/>
          <w:lang w:val="en-GB" w:eastAsia="es-ES"/>
        </w:rPr>
        <w:t>. </w:t>
      </w:r>
      <w:r w:rsidRPr="00E56EA9">
        <w:rPr>
          <w:rFonts w:ascii="Cambria" w:eastAsia="Times New Roman" w:hAnsi="Cambria" w:cs="Segoe UI"/>
          <w:i/>
          <w:iCs/>
          <w:color w:val="auto"/>
          <w:sz w:val="22"/>
          <w:szCs w:val="22"/>
          <w:lang w:val="en-GB" w:eastAsia="es-ES"/>
        </w:rPr>
        <w:t>Diogenes Laertius</w:t>
      </w:r>
      <w:r w:rsidRPr="00E56EA9">
        <w:rPr>
          <w:rFonts w:ascii="Cambria" w:eastAsia="Times New Roman" w:hAnsi="Cambria" w:cs="Segoe UI"/>
          <w:color w:val="auto"/>
          <w:sz w:val="22"/>
          <w:szCs w:val="22"/>
          <w:lang w:val="en-GB" w:eastAsia="es-ES"/>
        </w:rPr>
        <w:t>. Harvard University Press.</w:t>
      </w:r>
    </w:p>
    <w:p w14:paraId="65BF1BE0"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“DL, I, 1”.</w:t>
      </w:r>
    </w:p>
    <w:p w14:paraId="6F9D4800"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Ross, D. (1924). </w:t>
      </w:r>
      <w:r w:rsidRPr="00E56EA9">
        <w:rPr>
          <w:rFonts w:ascii="Cambria" w:eastAsia="Times New Roman" w:hAnsi="Cambria" w:cs="Segoe UI"/>
          <w:i/>
          <w:iCs/>
          <w:color w:val="auto"/>
          <w:sz w:val="22"/>
          <w:szCs w:val="22"/>
          <w:lang w:val="en-GB" w:eastAsia="es-ES"/>
        </w:rPr>
        <w:t>Aristotle. Aristotle’s Metaphysics</w:t>
      </w:r>
      <w:r w:rsidRPr="00E56EA9">
        <w:rPr>
          <w:rFonts w:ascii="Cambria" w:eastAsia="Times New Roman" w:hAnsi="Cambria" w:cs="Segoe UI"/>
          <w:color w:val="auto"/>
          <w:sz w:val="22"/>
          <w:szCs w:val="22"/>
          <w:lang w:val="en-GB" w:eastAsia="es-ES"/>
        </w:rPr>
        <w:t>. Clarendon Press.</w:t>
      </w:r>
    </w:p>
    <w:p w14:paraId="7FE009DA" w14:textId="77777777" w:rsidR="005323AD" w:rsidRPr="00E56EA9" w:rsidRDefault="005323AD" w:rsidP="005323AD">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w:t>
      </w:r>
      <w:proofErr w:type="spellStart"/>
      <w:r w:rsidRPr="00E56EA9">
        <w:rPr>
          <w:rFonts w:ascii="Cambria" w:eastAsia="Times New Roman" w:hAnsi="Cambria" w:cs="Segoe UI"/>
          <w:color w:val="auto"/>
          <w:sz w:val="22"/>
          <w:szCs w:val="22"/>
          <w:lang w:val="en-GB" w:eastAsia="es-ES"/>
        </w:rPr>
        <w:t>Arist</w:t>
      </w:r>
      <w:proofErr w:type="spellEnd"/>
      <w:r w:rsidRPr="00E56EA9">
        <w:rPr>
          <w:rFonts w:ascii="Cambria" w:eastAsia="Times New Roman" w:hAnsi="Cambria" w:cs="Segoe UI"/>
          <w:color w:val="auto"/>
          <w:sz w:val="22"/>
          <w:szCs w:val="22"/>
          <w:lang w:val="en-GB" w:eastAsia="es-ES"/>
        </w:rPr>
        <w:t>., Met., I, 1980a, 21-25”.</w:t>
      </w:r>
    </w:p>
    <w:p w14:paraId="7FCD0079" w14:textId="77777777" w:rsidR="000D0F73" w:rsidRPr="00A659BC" w:rsidRDefault="000D0F73" w:rsidP="000D0F73">
      <w:pPr>
        <w:spacing w:after="240"/>
        <w:rPr>
          <w:sz w:val="22"/>
          <w:szCs w:val="22"/>
          <w:lang w:val="en-US"/>
        </w:rPr>
      </w:pPr>
    </w:p>
    <w:p w14:paraId="76982B99" w14:textId="77777777" w:rsidR="000D0F73" w:rsidRPr="00A659BC" w:rsidRDefault="000D0F73" w:rsidP="000D0F73">
      <w:pPr>
        <w:spacing w:after="240"/>
        <w:rPr>
          <w:sz w:val="22"/>
          <w:szCs w:val="22"/>
          <w:lang w:val="en-US"/>
        </w:rPr>
        <w:sectPr w:rsidR="000D0F73" w:rsidRPr="00A659BC" w:rsidSect="00A82085">
          <w:headerReference w:type="default" r:id="rId19"/>
          <w:headerReference w:type="first" r:id="rId20"/>
          <w:type w:val="continuous"/>
          <w:pgSz w:w="11907" w:h="16840" w:code="9"/>
          <w:pgMar w:top="1418" w:right="851" w:bottom="851" w:left="1418" w:header="709" w:footer="709" w:gutter="0"/>
          <w:cols w:space="708"/>
          <w:titlePg/>
          <w:docGrid w:linePitch="360"/>
        </w:sectPr>
      </w:pPr>
    </w:p>
    <w:p w14:paraId="46CD8059" w14:textId="77777777" w:rsidR="000D0F73" w:rsidRPr="00A659BC" w:rsidRDefault="000D0F73" w:rsidP="000D0F73">
      <w:pPr>
        <w:spacing w:after="240"/>
        <w:rPr>
          <w:sz w:val="22"/>
          <w:szCs w:val="22"/>
          <w:lang w:val="en-US"/>
        </w:rPr>
      </w:pPr>
    </w:p>
    <w:p w14:paraId="54C1A23C" w14:textId="77777777" w:rsidR="000D0F73" w:rsidRDefault="000D0F73"/>
    <w:sectPr w:rsidR="000D0F73" w:rsidSect="00130566">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87D9" w14:textId="77777777" w:rsidR="00861C83" w:rsidRDefault="00861C83" w:rsidP="000D0F73">
      <w:pPr>
        <w:spacing w:after="0" w:line="240" w:lineRule="auto"/>
      </w:pPr>
      <w:r>
        <w:separator/>
      </w:r>
    </w:p>
  </w:endnote>
  <w:endnote w:type="continuationSeparator" w:id="0">
    <w:p w14:paraId="669AFE47" w14:textId="77777777" w:rsidR="00861C83" w:rsidRDefault="00861C83"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4B85" w14:textId="77777777" w:rsidR="00861C83" w:rsidRDefault="00861C83" w:rsidP="000D0F73">
      <w:pPr>
        <w:spacing w:after="0" w:line="240" w:lineRule="auto"/>
      </w:pPr>
      <w:r>
        <w:separator/>
      </w:r>
    </w:p>
  </w:footnote>
  <w:footnote w:type="continuationSeparator" w:id="0">
    <w:p w14:paraId="0ADAD46D" w14:textId="77777777" w:rsidR="00861C83" w:rsidRDefault="00861C83"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33D24380">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AF6" w14:textId="77777777" w:rsidR="00343104" w:rsidRPr="00DD1B22" w:rsidRDefault="00343104" w:rsidP="00343104">
    <w:pPr>
      <w:pStyle w:val="Encabezado"/>
      <w:rPr>
        <w:b/>
        <w:color w:val="003B6F"/>
        <w:szCs w:val="19"/>
        <w:lang w:val="en-GB"/>
      </w:rPr>
    </w:pPr>
    <w:r w:rsidRPr="00DD1B22">
      <w:rPr>
        <w:b/>
        <w:color w:val="003B6F"/>
        <w:szCs w:val="19"/>
        <w:lang w:val="en-GB"/>
      </w:rPr>
      <w:t>HUMAN Review, X(X), 202X, pp. XX-XX</w:t>
    </w:r>
  </w:p>
  <w:p w14:paraId="75DAEEA9" w14:textId="161F8E7C" w:rsidR="00D03CF5" w:rsidRPr="0051364E" w:rsidRDefault="00D03CF5" w:rsidP="0051364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0C7B" w14:textId="77777777" w:rsidR="00343104" w:rsidRPr="00A659BC" w:rsidRDefault="00343104" w:rsidP="00343104">
    <w:pPr>
      <w:pBdr>
        <w:top w:val="single" w:sz="4" w:space="1" w:color="auto"/>
        <w:left w:val="single" w:sz="4" w:space="4" w:color="auto"/>
        <w:bottom w:val="single" w:sz="4" w:space="1" w:color="auto"/>
        <w:right w:val="single" w:sz="4" w:space="4" w:color="auto"/>
      </w:pBdr>
      <w:shd w:val="clear" w:color="auto" w:fill="003B6F"/>
      <w:tabs>
        <w:tab w:val="center" w:pos="3686"/>
        <w:tab w:val="center" w:pos="4252"/>
        <w:tab w:val="right" w:pos="8504"/>
      </w:tabs>
      <w:spacing w:after="0" w:line="240" w:lineRule="auto"/>
      <w:ind w:left="709"/>
      <w:jc w:val="left"/>
      <w:rPr>
        <w:rFonts w:asciiTheme="majorHAnsi" w:hAnsiTheme="majorHAnsi" w:cstheme="majorHAnsi"/>
        <w:i/>
        <w:iCs/>
        <w:noProof/>
        <w:color w:val="FFFFFF" w:themeColor="background1"/>
        <w:sz w:val="20"/>
        <w:szCs w:val="20"/>
        <w:lang w:val="en-GB" w:eastAsia="es-ES"/>
      </w:rPr>
    </w:pPr>
    <w:r w:rsidRPr="00343104">
      <w:rPr>
        <w:rFonts w:asciiTheme="majorHAnsi" w:hAnsiTheme="majorHAnsi" w:cstheme="majorHAnsi"/>
        <w:i/>
        <w:iCs/>
        <w:noProof/>
        <w:color w:val="FFFFFF" w:themeColor="background1"/>
        <w:spacing w:val="-4"/>
        <w:sz w:val="20"/>
        <w:szCs w:val="20"/>
        <w:lang w:val="es-ES" w:eastAsia="es-ES"/>
      </w:rPr>
      <w:drawing>
        <wp:anchor distT="0" distB="0" distL="114300" distR="114300" simplePos="0" relativeHeight="251661312" behindDoc="0" locked="0" layoutInCell="1" allowOverlap="1" wp14:anchorId="76703B81" wp14:editId="4AA7B96D">
          <wp:simplePos x="0" y="0"/>
          <wp:positionH relativeFrom="column">
            <wp:posOffset>-460375</wp:posOffset>
          </wp:positionH>
          <wp:positionV relativeFrom="paragraph">
            <wp:posOffset>-5080</wp:posOffset>
          </wp:positionV>
          <wp:extent cx="843915" cy="74422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umanidades.jpg"/>
                  <pic:cNvPicPr/>
                </pic:nvPicPr>
                <pic:blipFill>
                  <a:blip r:embed="rId1">
                    <a:extLst>
                      <a:ext uri="{28A0092B-C50C-407E-A947-70E740481C1C}">
                        <a14:useLocalDpi xmlns:a14="http://schemas.microsoft.com/office/drawing/2010/main" val="0"/>
                      </a:ext>
                    </a:extLst>
                  </a:blip>
                  <a:stretch>
                    <a:fillRect/>
                  </a:stretch>
                </pic:blipFill>
                <pic:spPr>
                  <a:xfrm flipH="1">
                    <a:off x="0" y="0"/>
                    <a:ext cx="843915" cy="744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343104">
      <w:rPr>
        <w:rFonts w:asciiTheme="majorHAnsi" w:hAnsiTheme="majorHAnsi" w:cstheme="majorHAnsi"/>
        <w:i/>
        <w:iCs/>
        <w:noProof/>
        <w:color w:val="FFFFFF" w:themeColor="background1"/>
        <w:sz w:val="20"/>
        <w:szCs w:val="20"/>
        <w:lang w:val="en-GB" w:eastAsia="es-ES"/>
      </w:rPr>
      <w:t>HUMAN REVIEW</w:t>
    </w:r>
    <w:r w:rsidRPr="00343104">
      <w:rPr>
        <w:rFonts w:asciiTheme="majorHAnsi" w:hAnsiTheme="majorHAnsi" w:cstheme="majorHAnsi"/>
        <w:iCs/>
        <w:noProof/>
        <w:color w:val="FFFFFF" w:themeColor="background1"/>
        <w:sz w:val="20"/>
        <w:szCs w:val="20"/>
        <w:lang w:val="en-GB" w:eastAsia="es-ES"/>
      </w:rPr>
      <w:t xml:space="preserve">    |    </w:t>
    </w:r>
    <w:r w:rsidRPr="00343104">
      <w:rPr>
        <w:rFonts w:asciiTheme="majorHAnsi" w:hAnsiTheme="majorHAnsi" w:cstheme="majorHAnsi"/>
        <w:color w:val="FFFFFF" w:themeColor="background1"/>
        <w:sz w:val="20"/>
        <w:szCs w:val="20"/>
        <w:lang w:val="en-GB"/>
      </w:rPr>
      <w:t xml:space="preserve">Vol. X, No. </w:t>
    </w:r>
    <w:r w:rsidRPr="00A659BC">
      <w:rPr>
        <w:rFonts w:asciiTheme="majorHAnsi" w:hAnsiTheme="majorHAnsi" w:cstheme="majorHAnsi"/>
        <w:color w:val="FFFFFF" w:themeColor="background1"/>
        <w:sz w:val="20"/>
        <w:szCs w:val="20"/>
        <w:lang w:val="en-GB"/>
      </w:rPr>
      <w:t>X, 202X    |    ISSN 2695-9623</w:t>
    </w:r>
  </w:p>
  <w:p w14:paraId="791C8486" w14:textId="77777777" w:rsidR="00343104" w:rsidRPr="00A659BC" w:rsidRDefault="00343104" w:rsidP="00343104">
    <w:pPr>
      <w:pBdr>
        <w:top w:val="single" w:sz="4" w:space="1" w:color="auto"/>
        <w:left w:val="single" w:sz="4" w:space="4" w:color="auto"/>
        <w:bottom w:val="single" w:sz="4" w:space="1" w:color="auto"/>
        <w:right w:val="single" w:sz="4" w:space="4" w:color="auto"/>
      </w:pBdr>
      <w:shd w:val="clear" w:color="auto" w:fill="003B6F"/>
      <w:tabs>
        <w:tab w:val="center" w:pos="3686"/>
        <w:tab w:val="center" w:pos="4252"/>
        <w:tab w:val="right" w:pos="8504"/>
      </w:tabs>
      <w:spacing w:after="0"/>
      <w:ind w:left="709"/>
      <w:jc w:val="left"/>
      <w:rPr>
        <w:rFonts w:asciiTheme="majorHAnsi" w:hAnsiTheme="majorHAnsi" w:cstheme="majorHAnsi"/>
        <w:iCs/>
        <w:color w:val="FFFFFF" w:themeColor="background1"/>
        <w:sz w:val="20"/>
        <w:szCs w:val="20"/>
        <w:lang w:val="en-GB"/>
      </w:rPr>
    </w:pPr>
    <w:r w:rsidRPr="00A659BC">
      <w:rPr>
        <w:rFonts w:asciiTheme="majorHAnsi" w:hAnsiTheme="majorHAnsi" w:cstheme="majorHAnsi"/>
        <w:i/>
        <w:iCs/>
        <w:noProof/>
        <w:color w:val="FFFFFF" w:themeColor="background1"/>
        <w:sz w:val="20"/>
        <w:szCs w:val="20"/>
        <w:lang w:val="en-GB" w:eastAsia="es-ES"/>
      </w:rPr>
      <w:t>International Humanities Review / Revista Internacional de Humanidades</w:t>
    </w:r>
  </w:p>
  <w:p w14:paraId="56151193" w14:textId="77777777" w:rsidR="00343104" w:rsidRPr="00343104" w:rsidRDefault="00343104" w:rsidP="00343104">
    <w:pPr>
      <w:pBdr>
        <w:top w:val="single" w:sz="4" w:space="1" w:color="auto"/>
        <w:left w:val="single" w:sz="4" w:space="4" w:color="auto"/>
        <w:bottom w:val="single" w:sz="4" w:space="1" w:color="auto"/>
        <w:right w:val="single" w:sz="4" w:space="4" w:color="auto"/>
      </w:pBdr>
      <w:shd w:val="clear" w:color="auto" w:fill="003B6F"/>
      <w:tabs>
        <w:tab w:val="center" w:pos="3686"/>
        <w:tab w:val="center" w:pos="4252"/>
        <w:tab w:val="right" w:pos="8504"/>
      </w:tabs>
      <w:spacing w:after="0"/>
      <w:ind w:left="709"/>
      <w:jc w:val="left"/>
      <w:rPr>
        <w:rFonts w:asciiTheme="majorHAnsi" w:hAnsiTheme="majorHAnsi" w:cstheme="majorHAnsi"/>
        <w:color w:val="FFFFFF" w:themeColor="background1"/>
        <w:sz w:val="20"/>
        <w:szCs w:val="20"/>
      </w:rPr>
    </w:pPr>
    <w:r w:rsidRPr="00343104">
      <w:rPr>
        <w:rFonts w:asciiTheme="majorHAnsi" w:hAnsiTheme="majorHAnsi" w:cstheme="majorHAnsi"/>
        <w:color w:val="FFFFFF" w:themeColor="background1"/>
        <w:sz w:val="20"/>
        <w:szCs w:val="20"/>
        <w:lang w:val="fr-FR"/>
      </w:rPr>
      <w:t>DOI: https://doi.org/XX.XXXXX/xxxxxxxx</w:t>
    </w:r>
  </w:p>
  <w:p w14:paraId="015008DA" w14:textId="17D38344" w:rsidR="00343104" w:rsidRPr="00343104" w:rsidRDefault="00343104" w:rsidP="00343104">
    <w:pPr>
      <w:pBdr>
        <w:top w:val="single" w:sz="4" w:space="1" w:color="auto"/>
        <w:left w:val="single" w:sz="4" w:space="4" w:color="auto"/>
        <w:bottom w:val="single" w:sz="4" w:space="1" w:color="auto"/>
        <w:right w:val="single" w:sz="4" w:space="4" w:color="auto"/>
      </w:pBdr>
      <w:shd w:val="clear" w:color="auto" w:fill="003B6F"/>
      <w:tabs>
        <w:tab w:val="center" w:pos="3686"/>
        <w:tab w:val="center" w:pos="4252"/>
        <w:tab w:val="right" w:pos="8504"/>
      </w:tabs>
      <w:spacing w:after="0"/>
      <w:ind w:left="709"/>
      <w:jc w:val="left"/>
      <w:rPr>
        <w:rFonts w:asciiTheme="majorHAnsi" w:hAnsiTheme="majorHAnsi" w:cstheme="majorHAnsi"/>
        <w:color w:val="FFFFFF" w:themeColor="background1"/>
        <w:sz w:val="20"/>
        <w:szCs w:val="20"/>
      </w:rPr>
    </w:pPr>
    <w:r w:rsidRPr="00343104">
      <w:rPr>
        <w:rFonts w:asciiTheme="majorHAnsi" w:hAnsiTheme="majorHAnsi" w:cstheme="majorHAnsi"/>
        <w:color w:val="FFFFFF" w:themeColor="background1"/>
        <w:sz w:val="20"/>
        <w:szCs w:val="20"/>
      </w:rPr>
      <w:t xml:space="preserve">© </w:t>
    </w:r>
    <w:r w:rsidR="00A659BC">
      <w:rPr>
        <w:rFonts w:asciiTheme="majorHAnsi" w:hAnsiTheme="majorHAnsi" w:cstheme="majorHAnsi"/>
        <w:color w:val="FFFFFF" w:themeColor="background1"/>
        <w:sz w:val="20"/>
        <w:szCs w:val="20"/>
      </w:rPr>
      <w:t>GKA Ediciones, authors</w:t>
    </w:r>
    <w:r w:rsidRPr="00343104">
      <w:rPr>
        <w:rFonts w:asciiTheme="majorHAnsi" w:hAnsiTheme="majorHAnsi" w:cstheme="majorHAnsi"/>
        <w:color w:val="FFFFFF" w:themeColor="background1"/>
        <w:sz w:val="20"/>
        <w:szCs w:val="20"/>
      </w:rPr>
      <w:t>.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35CC0"/>
    <w:rsid w:val="000502F6"/>
    <w:rsid w:val="000D0F73"/>
    <w:rsid w:val="00130566"/>
    <w:rsid w:val="001A54E1"/>
    <w:rsid w:val="001B797D"/>
    <w:rsid w:val="001D34E5"/>
    <w:rsid w:val="00230047"/>
    <w:rsid w:val="002323F3"/>
    <w:rsid w:val="00255250"/>
    <w:rsid w:val="00266D91"/>
    <w:rsid w:val="00274C24"/>
    <w:rsid w:val="002E426D"/>
    <w:rsid w:val="002F4693"/>
    <w:rsid w:val="00343104"/>
    <w:rsid w:val="0037139F"/>
    <w:rsid w:val="0043772C"/>
    <w:rsid w:val="004407CA"/>
    <w:rsid w:val="00452DB6"/>
    <w:rsid w:val="00460E75"/>
    <w:rsid w:val="004C4296"/>
    <w:rsid w:val="0051364E"/>
    <w:rsid w:val="00521B42"/>
    <w:rsid w:val="005323AD"/>
    <w:rsid w:val="005C0B69"/>
    <w:rsid w:val="005C5DB5"/>
    <w:rsid w:val="00673FBA"/>
    <w:rsid w:val="00680274"/>
    <w:rsid w:val="0068276E"/>
    <w:rsid w:val="006929AF"/>
    <w:rsid w:val="006D5F8A"/>
    <w:rsid w:val="0070175A"/>
    <w:rsid w:val="007301A7"/>
    <w:rsid w:val="00736940"/>
    <w:rsid w:val="007413C5"/>
    <w:rsid w:val="00763DC8"/>
    <w:rsid w:val="00785D70"/>
    <w:rsid w:val="007922DD"/>
    <w:rsid w:val="007D14A6"/>
    <w:rsid w:val="00861C83"/>
    <w:rsid w:val="00893FB6"/>
    <w:rsid w:val="008A67AF"/>
    <w:rsid w:val="00904E10"/>
    <w:rsid w:val="00925E83"/>
    <w:rsid w:val="00937528"/>
    <w:rsid w:val="009A4D0E"/>
    <w:rsid w:val="009C19D3"/>
    <w:rsid w:val="009C59B2"/>
    <w:rsid w:val="00A430B1"/>
    <w:rsid w:val="00A659BC"/>
    <w:rsid w:val="00A82085"/>
    <w:rsid w:val="00AE7EBE"/>
    <w:rsid w:val="00B40B2D"/>
    <w:rsid w:val="00B41DDC"/>
    <w:rsid w:val="00BC11EB"/>
    <w:rsid w:val="00BD48DA"/>
    <w:rsid w:val="00C447BB"/>
    <w:rsid w:val="00C8749D"/>
    <w:rsid w:val="00CD5E36"/>
    <w:rsid w:val="00CE432D"/>
    <w:rsid w:val="00D03CF5"/>
    <w:rsid w:val="00D41443"/>
    <w:rsid w:val="00D85367"/>
    <w:rsid w:val="00DC4CCC"/>
    <w:rsid w:val="00DD1B22"/>
    <w:rsid w:val="00E852D5"/>
    <w:rsid w:val="00F53F96"/>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character" w:customStyle="1" w:styleId="UnresolvedMention">
    <w:name w:val="Unresolved Mention"/>
    <w:basedOn w:val="Fuentedeprrafopredeter"/>
    <w:uiPriority w:val="99"/>
    <w:semiHidden/>
    <w:unhideWhenUsed/>
    <w:rsid w:val="007017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character" w:customStyle="1" w:styleId="UnresolvedMention">
    <w:name w:val="Unresolved Mention"/>
    <w:basedOn w:val="Fuentedeprrafopredeter"/>
    <w:uiPriority w:val="99"/>
    <w:semiHidden/>
    <w:unhideWhenUsed/>
    <w:rsid w:val="0070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65480">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information.bris.ac.uk/ws/portalfiles/portal/204326248/Final_Copy_2019_06_25_Kar_E_PhD.pdf" TargetMode="External"/><Relationship Id="rId18" Type="http://schemas.openxmlformats.org/officeDocument/2006/relationships/hyperlink" Target="https://sancrucensis.wordpress.com/2016/10/06/peter-kalkavage-on-hegels-anti-aristotelian-account-of-des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phen.org/pub-109001" TargetMode="External"/><Relationship Id="rId17" Type="http://schemas.openxmlformats.org/officeDocument/2006/relationships/hyperlink" Target="https://doi.org/10.2307/2183008" TargetMode="External"/><Relationship Id="rId2" Type="http://schemas.openxmlformats.org/officeDocument/2006/relationships/numbering" Target="numbering.xml"/><Relationship Id="rId16" Type="http://schemas.openxmlformats.org/officeDocument/2006/relationships/hyperlink" Target="https://doi.org/10.1017/CCOL0521365880.008"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vents.gkacademics.com/dashboard/videos/105"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ytimes.com/2016/05/27/world/europe/greece-aristotle-tomb.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C479-80E9-4E9A-AD1C-B7209443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22</cp:revision>
  <dcterms:created xsi:type="dcterms:W3CDTF">2021-09-22T14:54:00Z</dcterms:created>
  <dcterms:modified xsi:type="dcterms:W3CDTF">2022-08-18T10:28:00Z</dcterms:modified>
</cp:coreProperties>
</file>